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490219" cy="60452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830" l="-1027" r="-1027" t="-830"/>
                    <a:stretch/>
                  </pic:blipFill>
                  <pic:spPr>
                    <a:xfrm flipH="false" flipV="false" rot="0">
                      <a:ext cx="490219" cy="6045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</w:t>
      </w:r>
    </w:p>
    <w:p w14:paraId="02000000">
      <w:r>
        <w:t xml:space="preserve">                                                                                                                                 </w:t>
      </w:r>
    </w:p>
    <w:tbl>
      <w:tblPr>
        <w:tblStyle w:val="Style_1"/>
        <w:tblLayout w:type="fixed"/>
      </w:tblPr>
      <w:tblGrid>
        <w:gridCol w:w="236"/>
        <w:gridCol w:w="600"/>
        <w:gridCol w:w="236"/>
        <w:gridCol w:w="1451"/>
        <w:gridCol w:w="906"/>
        <w:gridCol w:w="322"/>
        <w:gridCol w:w="3673"/>
        <w:gridCol w:w="441"/>
        <w:gridCol w:w="1772"/>
      </w:tblGrid>
      <w:tr>
        <w:trPr>
          <w:trHeight w:hRule="exact" w:val="1134"/>
        </w:trPr>
        <w:tc>
          <w:tcPr>
            <w:tcW w:type="dxa" w:w="9637"/>
            <w:gridSpan w:val="9"/>
            <w:shd w:fill="auto" w:val="clear"/>
          </w:tcPr>
          <w:p w14:paraId="03000000">
            <w:pPr>
              <w:ind/>
              <w:jc w:val="center"/>
            </w:pPr>
            <w:r>
              <w:rPr>
                <w:rFonts w:ascii="Georgia" w:hAnsi="Georgia"/>
                <w:b w:val="1"/>
              </w:rPr>
              <w:t>Муниципальное образование Октябрьский район</w:t>
            </w:r>
          </w:p>
          <w:p w14:paraId="04000000">
            <w:pPr>
              <w:ind/>
              <w:jc w:val="center"/>
              <w:rPr>
                <w:rFonts w:ascii="Georgia" w:hAnsi="Georgia"/>
                <w:b w:val="1"/>
                <w:sz w:val="12"/>
              </w:rPr>
            </w:pPr>
          </w:p>
          <w:p w14:paraId="05000000">
            <w:pPr>
              <w:ind/>
              <w:jc w:val="center"/>
            </w:pPr>
            <w:r>
              <w:rPr>
                <w:b w:val="1"/>
                <w:sz w:val="26"/>
              </w:rPr>
              <w:t>АДМИНИСТРАЦИЯ ОКТЯБРЬСКОГО РАЙОНА</w:t>
            </w:r>
          </w:p>
          <w:p w14:paraId="06000000">
            <w:pPr>
              <w:ind/>
              <w:jc w:val="center"/>
              <w:rPr>
                <w:b w:val="1"/>
                <w:sz w:val="12"/>
              </w:rPr>
            </w:pPr>
          </w:p>
          <w:p w14:paraId="07000000">
            <w:pPr>
              <w:ind/>
              <w:jc w:val="center"/>
            </w:pPr>
            <w:r>
              <w:rPr>
                <w:b w:val="1"/>
                <w:spacing w:val="20"/>
                <w:sz w:val="26"/>
              </w:rPr>
              <w:t>ПОСТАНОВЛЕНИЕ</w:t>
            </w:r>
          </w:p>
        </w:tc>
      </w:tr>
      <w:tr>
        <w:trPr>
          <w:trHeight w:hRule="atLeast" w:val="454"/>
        </w:trPr>
        <w:tc>
          <w:tcPr>
            <w:tcW w:type="dxa" w:w="236"/>
            <w:shd w:fill="auto" w:val="clear"/>
            <w:vAlign w:val="bottom"/>
          </w:tcPr>
          <w:p w14:paraId="08000000">
            <w:pPr>
              <w:ind/>
              <w:jc w:val="right"/>
            </w:pPr>
            <w:r>
              <w:t>«</w:t>
            </w:r>
          </w:p>
        </w:tc>
        <w:tc>
          <w:tcPr>
            <w:tcW w:type="dxa" w:w="600"/>
            <w:tcBorders>
              <w:bottom w:color="000000" w:sz="4" w:val="single"/>
            </w:tcBorders>
            <w:shd w:fill="auto" w:val="clear"/>
            <w:vAlign w:val="bottom"/>
          </w:tcPr>
          <w:p w14:paraId="09000000"/>
        </w:tc>
        <w:tc>
          <w:tcPr>
            <w:tcW w:type="dxa" w:w="236"/>
            <w:shd w:fill="auto" w:val="clear"/>
            <w:vAlign w:val="bottom"/>
          </w:tcPr>
          <w:p w14:paraId="0A000000">
            <w:r>
              <w:t>»</w:t>
            </w:r>
          </w:p>
        </w:tc>
        <w:tc>
          <w:tcPr>
            <w:tcW w:type="dxa" w:w="1451"/>
            <w:tcBorders>
              <w:bottom w:color="000000" w:sz="4" w:val="single"/>
            </w:tcBorders>
            <w:shd w:fill="auto" w:val="clear"/>
            <w:vAlign w:val="bottom"/>
          </w:tcPr>
          <w:p w14:paraId="0B000000"/>
        </w:tc>
        <w:tc>
          <w:tcPr>
            <w:tcW w:type="dxa" w:w="1228"/>
            <w:gridSpan w:val="2"/>
            <w:shd w:fill="auto" w:val="clear"/>
            <w:vAlign w:val="bottom"/>
          </w:tcPr>
          <w:p w14:paraId="0C000000">
            <w:r>
              <w:t>2022 г.</w:t>
            </w:r>
          </w:p>
        </w:tc>
        <w:tc>
          <w:tcPr>
            <w:tcW w:type="dxa" w:w="3673"/>
            <w:shd w:fill="auto" w:val="clear"/>
            <w:vAlign w:val="bottom"/>
          </w:tcPr>
          <w:p w14:paraId="0D000000"/>
        </w:tc>
        <w:tc>
          <w:tcPr>
            <w:tcW w:type="dxa" w:w="441"/>
            <w:shd w:fill="auto" w:val="clear"/>
            <w:vAlign w:val="bottom"/>
          </w:tcPr>
          <w:p w14:paraId="0E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1772"/>
            <w:tcBorders>
              <w:bottom w:color="000000" w:sz="4" w:val="single"/>
            </w:tcBorders>
            <w:shd w:fill="auto" w:val="clear"/>
            <w:vAlign w:val="bottom"/>
          </w:tcPr>
          <w:p w14:paraId="0F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9637"/>
            <w:gridSpan w:val="9"/>
            <w:shd w:fill="auto" w:val="clear"/>
          </w:tcPr>
          <w:p w14:paraId="10000000">
            <w:r>
              <w:t>пгт. Октябрьское</w:t>
            </w:r>
          </w:p>
        </w:tc>
      </w:tr>
    </w:tbl>
    <w:p w14:paraId="11000000">
      <w:pPr>
        <w:ind/>
        <w:jc w:val="both"/>
      </w:pPr>
      <w:r>
        <w:t>О внесении изменений в Положение об установлении</w:t>
      </w:r>
    </w:p>
    <w:p w14:paraId="12000000">
      <w:pPr>
        <w:ind/>
        <w:jc w:val="both"/>
      </w:pPr>
      <w:r>
        <w:t>системы оплаты труда работников муниципальных</w:t>
      </w:r>
    </w:p>
    <w:p w14:paraId="13000000">
      <w:pPr>
        <w:ind/>
        <w:jc w:val="both"/>
      </w:pPr>
      <w:r>
        <w:t>учреждений культуры Октябрьского района, утвержденное</w:t>
      </w:r>
    </w:p>
    <w:p w14:paraId="14000000">
      <w:pPr>
        <w:ind/>
        <w:jc w:val="both"/>
      </w:pPr>
      <w:r>
        <w:t>постановлением администрации Октябрьского района</w:t>
      </w:r>
    </w:p>
    <w:p w14:paraId="15000000">
      <w:pPr>
        <w:ind/>
        <w:jc w:val="both"/>
      </w:pPr>
      <w:r>
        <w:t>от 12.02.2018 № 294</w:t>
      </w: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ind w:firstLine="708" w:left="0"/>
        <w:jc w:val="both"/>
      </w:pPr>
      <w:r>
        <w:t>В соответствии с приказом Департамента культуры Ханты-Мансийского автономного округа - Югры от 01.03.2017 № 1-нп «</w:t>
      </w:r>
      <w:r>
        <w:rPr>
          <w:rFonts w:ascii="Times New Roman" w:hAnsi="Times New Roman"/>
          <w:sz w:val="24"/>
        </w:rPr>
        <w:t>Об утверждении положения об установлении системы оплаты труда работников государственных учреждений культуры</w:t>
      </w:r>
      <w:r>
        <w:t xml:space="preserve"> Ханты-Мансийского автономного округа - Югры,</w:t>
      </w:r>
      <w:r>
        <w:rPr>
          <w:rFonts w:ascii="Times New Roman" w:hAnsi="Times New Roman"/>
          <w:sz w:val="24"/>
        </w:rPr>
        <w:t xml:space="preserve"> подведомственных Департаменту культуры</w:t>
      </w:r>
      <w:r>
        <w:t xml:space="preserve"> Ханты -Мансийского автономного округа - Югры</w:t>
      </w:r>
      <w:r>
        <w:t>»:</w:t>
      </w:r>
    </w:p>
    <w:p w14:paraId="19000000">
      <w:pPr>
        <w:ind w:firstLine="708" w:left="0"/>
        <w:jc w:val="both"/>
      </w:pPr>
      <w:r>
        <w:t xml:space="preserve">1. Внести </w:t>
      </w:r>
      <w:r>
        <w:t xml:space="preserve">в </w:t>
      </w:r>
      <w:r>
        <w:t xml:space="preserve">раздел </w:t>
      </w:r>
      <w:r>
        <w:t>IV</w:t>
      </w:r>
      <w:r>
        <w:t xml:space="preserve"> </w:t>
      </w:r>
      <w:r>
        <w:t>Положения</w:t>
      </w:r>
      <w:r>
        <w:t xml:space="preserve"> об установлении </w:t>
      </w:r>
      <w:r>
        <w:t>системы оплаты</w:t>
      </w:r>
      <w:r>
        <w:t xml:space="preserve"> труда работников муниципальных </w:t>
      </w:r>
      <w:r>
        <w:t>учреждений культуры О</w:t>
      </w:r>
      <w:r>
        <w:t>ктябрьского</w:t>
      </w:r>
      <w:r>
        <w:t xml:space="preserve"> района, утвержденного</w:t>
      </w:r>
      <w:r>
        <w:t xml:space="preserve"> постановлением администрации Октябрьского района от 12.02.2018 № 2</w:t>
      </w:r>
      <w:r>
        <w:t>94 следующие изменения:</w:t>
      </w:r>
    </w:p>
    <w:p w14:paraId="1A000000">
      <w:pPr>
        <w:ind w:firstLine="708" w:left="0"/>
        <w:jc w:val="both"/>
      </w:pPr>
      <w:r>
        <w:t xml:space="preserve">1.1. </w:t>
      </w:r>
      <w:r>
        <w:t xml:space="preserve"> </w:t>
      </w:r>
      <w:r>
        <w:t>Пятый абзац пункта 21 изложить в новой редакции:</w:t>
      </w:r>
    </w:p>
    <w:p w14:paraId="1B000000">
      <w:pPr>
        <w:ind w:firstLine="708" w:left="0" w:right="0"/>
        <w:jc w:val="both"/>
      </w:pPr>
      <w:r>
        <w:t xml:space="preserve"> «</w:t>
      </w:r>
      <w:r>
        <w:rPr>
          <w:color w:val="000000"/>
        </w:rPr>
        <w:t>премиальные выплаты по итогам работы за квартал».</w:t>
      </w:r>
    </w:p>
    <w:p w14:paraId="1C000000">
      <w:pPr>
        <w:ind w:firstLine="708" w:left="0" w:right="0"/>
        <w:jc w:val="both"/>
      </w:pPr>
      <w:r>
        <w:t xml:space="preserve">1.2. Пункт 22 </w:t>
      </w:r>
      <w:r>
        <w:t>изложить в новой редакции:</w:t>
      </w:r>
    </w:p>
    <w:p w14:paraId="1D000000">
      <w:pPr>
        <w:ind w:firstLine="709" w:left="0" w:right="0"/>
        <w:jc w:val="both"/>
      </w:pPr>
      <w:r>
        <w:t xml:space="preserve">«22. </w:t>
      </w:r>
      <w:r>
        <w:t xml:space="preserve">Выплата за интенсивность и высокие результаты работы характеризуется степенью напряженности в процессе труда и устанавливается </w:t>
      </w:r>
      <w:r>
        <w:rPr>
          <w:sz w:val="23"/>
        </w:rPr>
        <w:t>в соответствии с показателями оценки  эффективности деятельности работникам учреждения за:</w:t>
      </w:r>
    </w:p>
    <w:p w14:paraId="1E000000">
      <w:pPr>
        <w:widowControl w:val="0"/>
        <w:ind w:firstLine="709" w:left="0"/>
        <w:jc w:val="both"/>
      </w:pPr>
      <w:r>
        <w:t>- участие в выполнении важных работ, мероприятий;</w:t>
      </w:r>
    </w:p>
    <w:p w14:paraId="1F000000">
      <w:pPr>
        <w:widowControl w:val="0"/>
        <w:ind w:firstLine="709" w:left="0"/>
        <w:jc w:val="both"/>
      </w:pPr>
      <w:r>
        <w:t>- интенсивность и напряженность работы;</w:t>
      </w:r>
    </w:p>
    <w:p w14:paraId="20000000">
      <w:pPr>
        <w:widowControl w:val="0"/>
        <w:ind w:firstLine="709" w:left="0"/>
        <w:jc w:val="both"/>
      </w:pPr>
      <w:r>
        <w:t>- организацию и проведение мероприятий, направленных на повышение авторитета и имиджа учреждения среди населения;</w:t>
      </w:r>
    </w:p>
    <w:p w14:paraId="21000000">
      <w:pPr>
        <w:widowControl w:val="0"/>
        <w:ind w:firstLine="709" w:left="0"/>
        <w:jc w:val="both"/>
      </w:pPr>
      <w:r>
        <w:t>- особый режим работы (связанный с обеспечением безаварийной, безотказной и бесперебойной работы всех служб учреждения);</w:t>
      </w:r>
    </w:p>
    <w:p w14:paraId="22000000">
      <w:pPr>
        <w:widowControl w:val="0"/>
        <w:ind w:firstLine="709" w:left="0"/>
        <w:jc w:val="both"/>
      </w:pPr>
      <w:r>
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14:paraId="23000000">
      <w:pPr>
        <w:widowControl w:val="0"/>
        <w:ind w:firstLine="709" w:left="0"/>
        <w:jc w:val="both"/>
      </w:pPr>
      <w:r>
        <w:t>- выполнение важных работ, не определенных трудовым договором, а также в соответствии с условиями, установленными локальным нормативным актом учреждения.</w:t>
      </w:r>
    </w:p>
    <w:p w14:paraId="24000000">
      <w:pPr>
        <w:ind w:firstLine="708" w:left="0" w:right="0"/>
        <w:jc w:val="both"/>
        <w:rPr>
          <w:color w:val="FB290D"/>
        </w:rPr>
      </w:pPr>
      <w:r>
        <w:t>Порядок установления выплаты за интенсивность и высокие результаты работы закрепляется коллективным договором, локальным нормативным актом учреждения. Выплата устанавливается на срок не более одного года.</w:t>
      </w:r>
    </w:p>
    <w:p w14:paraId="25000000">
      <w:pPr>
        <w:ind w:firstLine="708" w:left="0" w:right="0"/>
        <w:jc w:val="both"/>
      </w:pPr>
      <w:r>
        <w:t xml:space="preserve">Конкретный размер выплаты за интенсивность и высокие результаты определяется в процентах от должностного оклада, </w:t>
      </w:r>
      <w:r>
        <w:rPr>
          <w:color w:val="000000"/>
        </w:rPr>
        <w:t>согласно таблицы 12</w:t>
      </w:r>
      <w:r>
        <w:t>.</w:t>
      </w:r>
    </w:p>
    <w:p w14:paraId="26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>Параметры и критерии снижения (лишения) стимулирующей выплаты за интенсивность и высокие результаты работы устанавливаются локальным актом учреждения.</w:t>
      </w:r>
      <w:r>
        <w:rPr>
          <w:color w:val="000000"/>
        </w:rPr>
        <w:t>».</w:t>
      </w:r>
    </w:p>
    <w:p w14:paraId="27000000">
      <w:pPr>
        <w:ind w:firstLine="708" w:left="0" w:right="0"/>
        <w:jc w:val="both"/>
      </w:pPr>
      <w:r>
        <w:t xml:space="preserve">1.3. Пункт 23 </w:t>
      </w:r>
      <w:r>
        <w:t>изложить в новой редакции:</w:t>
      </w:r>
    </w:p>
    <w:p w14:paraId="28000000">
      <w:pPr>
        <w:ind w:firstLine="708" w:left="0" w:right="0"/>
        <w:jc w:val="both"/>
        <w:rPr>
          <w:sz w:val="23"/>
        </w:rPr>
      </w:pPr>
      <w:r>
        <w:t xml:space="preserve">«23. </w:t>
      </w:r>
      <w:r>
        <w:rPr>
          <w:sz w:val="23"/>
        </w:rPr>
        <w:t>Выплата за качество выполняемых работ</w:t>
      </w:r>
      <w:r>
        <w:t xml:space="preserve"> устанавливается в соответствии с показателями и критериями оценки эффективности деятельности работников</w:t>
      </w:r>
      <w:r>
        <w:rPr>
          <w:sz w:val="23"/>
        </w:rPr>
        <w:t>.</w:t>
      </w:r>
    </w:p>
    <w:p w14:paraId="29000000">
      <w:pPr>
        <w:ind w:firstLine="708" w:left="0" w:right="0"/>
        <w:jc w:val="both"/>
      </w:pPr>
      <w: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учреждения (человеческих, материально-технических, финансовых, технологических и информационных).</w:t>
      </w:r>
    </w:p>
    <w:p w14:paraId="2A000000">
      <w:pPr>
        <w:ind w:firstLine="708" w:left="0" w:right="0"/>
        <w:jc w:val="both"/>
      </w:pPr>
    </w:p>
    <w:p w14:paraId="2B000000">
      <w:pPr>
        <w:ind w:firstLine="708" w:left="0" w:right="0"/>
        <w:jc w:val="both"/>
      </w:pPr>
      <w:r>
        <w:t>Индикатор должен быть представлен в исчисляемом формате (в единицах, штуках, долях, процентах и прочих единицах измерения) для эффективного использования в качестве инструмента оценки деятельности.</w:t>
      </w:r>
    </w:p>
    <w:p w14:paraId="2C000000">
      <w:pPr>
        <w:ind w:firstLine="708" w:left="0" w:right="0"/>
        <w:jc w:val="both"/>
      </w:pPr>
      <w: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опросов, учетной документации учреждения, плановых показателей деятельности учреждения в рамках муниципального задания.</w:t>
      </w:r>
    </w:p>
    <w:p w14:paraId="2D000000">
      <w:pPr>
        <w:ind w:firstLine="708" w:left="0" w:right="0"/>
        <w:jc w:val="both"/>
      </w:pPr>
      <w:r>
        <w:t>Инструменты оценки (критерии, типы работ и индикаторы, оценивающие данный критерий, вес индикатора) устанавливаются в зависимости от принятых показателей эффективности деятельности учреждения и отдельных категорий работников.</w:t>
      </w:r>
    </w:p>
    <w:p w14:paraId="2E000000">
      <w:pPr>
        <w:ind w:firstLine="708" w:left="0" w:right="0"/>
        <w:jc w:val="both"/>
        <w:rPr>
          <w:sz w:val="23"/>
        </w:rPr>
      </w:pPr>
      <w:r>
        <w:rPr>
          <w:color w:val="000000"/>
        </w:rPr>
        <w:t>Конкретный размер выплаты</w:t>
      </w:r>
      <w:r>
        <w:rPr>
          <w:sz w:val="23"/>
        </w:rPr>
        <w:t xml:space="preserve"> за качество выполняемых работ</w:t>
      </w:r>
      <w:r>
        <w:rPr>
          <w:color w:val="000000"/>
        </w:rPr>
        <w:t xml:space="preserve"> устанавливается работнику согласно таблицы 12, в соответствии с показателями и критериями оценки эффективности деятельности работников организации. Порядок установления выплаты закрепляется локальным нормативным актом учреждения.».</w:t>
      </w:r>
    </w:p>
    <w:p w14:paraId="2F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 xml:space="preserve">1.4. Пункт 26 </w:t>
      </w:r>
      <w:r>
        <w:rPr>
          <w:color w:val="000000"/>
        </w:rPr>
        <w:t>изложить в новой редакции:</w:t>
      </w:r>
    </w:p>
    <w:p w14:paraId="30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 xml:space="preserve">«26. </w:t>
      </w:r>
      <w:r>
        <w:rPr>
          <w:color w:val="000000"/>
        </w:rPr>
        <w:t>Стимулирующие выплаты устанавливаются к должностному окладу работника и учитываются для начисления районного коэффициента и процентной надбавки к заработной плате з</w:t>
      </w:r>
      <w:r>
        <w:rPr>
          <w:color w:val="000000"/>
        </w:rPr>
        <w:t>а стаж в районах Крайнего Севера и приравненных к ним местностях.</w:t>
      </w:r>
    </w:p>
    <w:p w14:paraId="31000000">
      <w:pPr>
        <w:ind w:firstLine="708" w:left="0" w:right="0"/>
        <w:jc w:val="both"/>
        <w:rPr>
          <w:color w:val="FB290D"/>
        </w:rPr>
      </w:pPr>
      <w:r>
        <w:rPr>
          <w:color w:val="000000"/>
        </w:rPr>
        <w:t xml:space="preserve">Стимулирующие выплаты устанавливаются в пределах фонда оплаты труда, формируемого в соответствии с </w:t>
      </w:r>
      <w:r>
        <w:rPr>
          <w:color w:val="000000"/>
        </w:rPr>
        <w:t>разделом VII</w:t>
      </w:r>
      <w:r>
        <w:rPr>
          <w:color w:val="000000"/>
        </w:rPr>
        <w:t xml:space="preserve"> настоящего Положения.</w:t>
      </w:r>
    </w:p>
    <w:p w14:paraId="32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>На стимулирующие выплаты не могут быть направлены средства бюджета Октябрьского района, сложившиеся в результате невыполнения муниципального задания или планового объема предоставляемых услуг.</w:t>
      </w:r>
      <w:r>
        <w:rPr>
          <w:color w:val="000000"/>
        </w:rPr>
        <w:t>».</w:t>
      </w:r>
    </w:p>
    <w:p w14:paraId="33000000">
      <w:pPr>
        <w:ind w:firstLine="708" w:left="0"/>
        <w:jc w:val="both"/>
      </w:pPr>
      <w:r>
        <w:t>1.5. Таблицу 12 пункта 28 изложить в следующей редакции:</w:t>
      </w:r>
    </w:p>
    <w:p w14:paraId="34000000">
      <w:pPr>
        <w:ind w:firstLine="540" w:left="0"/>
        <w:jc w:val="right"/>
      </w:pPr>
    </w:p>
    <w:p w14:paraId="35000000">
      <w:pPr>
        <w:ind w:firstLine="540" w:left="0"/>
        <w:jc w:val="right"/>
      </w:pPr>
      <w:r>
        <w:t>«Таблица 12</w:t>
      </w:r>
    </w:p>
    <w:p w14:paraId="36000000">
      <w:pPr>
        <w:ind/>
        <w:jc w:val="center"/>
      </w:pPr>
    </w:p>
    <w:p w14:paraId="37000000">
      <w:pPr>
        <w:ind/>
        <w:jc w:val="center"/>
      </w:pPr>
      <w:r>
        <w:t>Перечень, размеры и условия осуществления</w:t>
      </w:r>
    </w:p>
    <w:p w14:paraId="38000000">
      <w:pPr>
        <w:ind/>
        <w:jc w:val="center"/>
      </w:pPr>
      <w:r>
        <w:t>стимулирующих выплат с подтверждением достижения целевого показателя</w:t>
      </w:r>
    </w:p>
    <w:p w14:paraId="39000000">
      <w:pPr>
        <w:ind/>
        <w:jc w:val="center"/>
      </w:pPr>
    </w:p>
    <w:p w14:paraId="3A000000">
      <w:pPr>
        <w:ind/>
        <w:jc w:val="both"/>
      </w:pPr>
    </w:p>
    <w:tbl>
      <w:tblPr>
        <w:tblStyle w:val="Style_1"/>
        <w:tblInd w:type="dxa" w:w="-1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5"/>
        <w:gridCol w:w="1664"/>
        <w:gridCol w:w="2130"/>
        <w:gridCol w:w="3690"/>
        <w:gridCol w:w="1920"/>
      </w:tblGrid>
      <w:tr>
        <w:trPr>
          <w:trHeight w:hRule="atLeast" w:val="1015"/>
          <w:hidden w:val="0"/>
        </w:trPr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 выплаты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Диапазон выплаты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Показатели эффективности деятельности</w:t>
            </w:r>
          </w:p>
        </w:tc>
        <w:tc>
          <w:tcPr>
            <w:tcW w:type="dxa" w:w="1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Периодичность осуществления выплаты</w:t>
            </w:r>
          </w:p>
        </w:tc>
      </w:tr>
      <w:tr>
        <w:tc>
          <w:tcPr>
            <w:tcW w:type="dxa" w:w="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Выплата за интенсивность и высокие результаты работы</w:t>
            </w:r>
          </w:p>
          <w:p w14:paraId="42000000">
            <w:pPr>
              <w:widowControl w:val="0"/>
              <w:ind w:firstLine="0" w:left="0"/>
              <w:jc w:val="center"/>
              <w:rPr>
                <w:sz w:val="23"/>
              </w:rPr>
            </w:pPr>
          </w:p>
        </w:tc>
        <w:tc>
          <w:tcPr>
            <w:tcW w:type="dxa" w:w="21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t xml:space="preserve">До 50% от оклада (должностного оклада) </w:t>
            </w:r>
            <w:r>
              <w:t xml:space="preserve">заместителям руководителя, главному бухгалтеру, </w:t>
            </w:r>
            <w:r>
              <w:t>руководителям структурных подразделений, специалистам</w:t>
            </w:r>
            <w:r>
              <w:rPr>
                <w:sz w:val="23"/>
              </w:rPr>
              <w:t xml:space="preserve"> </w:t>
            </w:r>
          </w:p>
          <w:p w14:paraId="44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(кроме специалистов по разделу 1202 «Периодическая печать и издательство»)</w:t>
            </w:r>
          </w:p>
        </w:tc>
        <w:tc>
          <w:tcPr>
            <w:tcW w:type="dxa" w:w="3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00000">
            <w:pPr>
              <w:widowControl w:val="0"/>
              <w:ind w:firstLine="0" w:left="0"/>
              <w:jc w:val="center"/>
            </w:pPr>
            <w:r>
              <w:t>Устанавливается за:</w:t>
            </w:r>
          </w:p>
          <w:p w14:paraId="46000000">
            <w:pPr>
              <w:widowControl w:val="0"/>
              <w:ind w:firstLine="0" w:left="0"/>
              <w:jc w:val="center"/>
            </w:pPr>
            <w:r>
              <w:t>- участие в выполнении важных работ, мероприятий;</w:t>
            </w:r>
          </w:p>
          <w:p w14:paraId="47000000">
            <w:pPr>
              <w:widowControl w:val="0"/>
              <w:ind w:firstLine="0" w:left="0"/>
              <w:jc w:val="center"/>
            </w:pPr>
            <w:r>
              <w:t>- интенсивность и напряженность работы;</w:t>
            </w:r>
          </w:p>
          <w:p w14:paraId="48000000">
            <w:pPr>
              <w:widowControl w:val="0"/>
              <w:ind w:firstLine="0" w:left="0"/>
              <w:jc w:val="center"/>
            </w:pPr>
            <w:r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14:paraId="49000000">
            <w:pPr>
              <w:widowControl w:val="0"/>
              <w:ind w:firstLine="0" w:left="0"/>
              <w:jc w:val="center"/>
            </w:pPr>
            <w: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14:paraId="4A000000">
            <w:pPr>
              <w:widowControl w:val="0"/>
              <w:ind w:firstLine="0" w:left="0"/>
              <w:jc w:val="center"/>
            </w:pPr>
            <w: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14:paraId="4B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t>- выполнение важных работ, 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type="dxa" w:w="1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Ежемесячно с даты приема на работу, из фонда стимулирующих выплат</w:t>
            </w:r>
          </w:p>
        </w:tc>
      </w:tr>
      <w:tr>
        <w:tc>
          <w:tcPr>
            <w:tcW w:type="dxa" w:w="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Выплата за качество выполняемых работ</w:t>
            </w:r>
          </w:p>
        </w:tc>
        <w:tc>
          <w:tcPr>
            <w:tcW w:type="dxa" w:w="21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t xml:space="preserve">До 50% от оклада (должностного оклада) </w:t>
            </w:r>
            <w:r>
              <w:t xml:space="preserve">заместителям руководителя, главному бухгалтеру, </w:t>
            </w:r>
            <w:r>
              <w:t>руководителям структурных подразделений, специалистам</w:t>
            </w:r>
          </w:p>
          <w:p w14:paraId="50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(кроме специалистов по разделу 1202 «Периодическая печать и издательство»)</w:t>
            </w:r>
          </w:p>
        </w:tc>
        <w:tc>
          <w:tcPr>
            <w:tcW w:type="dxa" w:w="3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00000">
            <w:pPr>
              <w:widowControl w:val="0"/>
              <w:ind w:firstLine="0" w:left="0"/>
              <w:jc w:val="center"/>
            </w:pPr>
            <w:r>
              <w:t>Устанавливается за:</w:t>
            </w:r>
          </w:p>
          <w:p w14:paraId="52000000">
            <w:pPr>
              <w:widowControl w:val="0"/>
              <w:ind w:firstLine="0" w:left="0"/>
              <w:jc w:val="center"/>
            </w:pPr>
            <w:r>
              <w:t>- успешное и добросовестное исполнение должностных обязанностей в соответствующем периоде;</w:t>
            </w:r>
          </w:p>
          <w:p w14:paraId="53000000">
            <w:pPr>
              <w:widowControl w:val="0"/>
              <w:ind w:firstLine="0" w:left="0"/>
              <w:jc w:val="center"/>
            </w:pPr>
            <w:r>
              <w:t>- высокое качество выполняемой работы;</w:t>
            </w:r>
          </w:p>
          <w:p w14:paraId="54000000">
            <w:pPr>
              <w:widowControl w:val="0"/>
              <w:ind w:firstLine="0" w:left="0"/>
              <w:jc w:val="center"/>
            </w:pPr>
            <w:r>
              <w:t>- персональный вклад каждого работника в общие результаты деятельности учреждения;</w:t>
            </w:r>
          </w:p>
          <w:p w14:paraId="55000000">
            <w:pPr>
              <w:widowControl w:val="0"/>
              <w:ind w:firstLine="0" w:left="0"/>
              <w:jc w:val="center"/>
            </w:pPr>
            <w: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оценки эффективности деятельности работников учреждения </w:t>
            </w:r>
            <w:r>
              <w:t>в соответствии с условиями, установленными локальным нормативным актом учреждения</w:t>
            </w:r>
          </w:p>
        </w:tc>
        <w:tc>
          <w:tcPr>
            <w:tcW w:type="dxa" w:w="1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Ежемесячно с даты приема на работу, из фонда стимулирующих выплат</w:t>
            </w:r>
          </w:p>
        </w:tc>
      </w:tr>
      <w:tr>
        <w:tc>
          <w:tcPr>
            <w:tcW w:type="dxa" w:w="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</w:pPr>
            <w:r>
              <w:t>3.</w:t>
            </w:r>
          </w:p>
        </w:tc>
        <w:tc>
          <w:tcPr>
            <w:tcW w:type="dxa" w:w="1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Выплата за качество выполняемых работ</w:t>
            </w:r>
          </w:p>
        </w:tc>
        <w:tc>
          <w:tcPr>
            <w:tcW w:type="dxa" w:w="21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До 38% </w:t>
            </w:r>
            <w:r>
              <w:rPr>
                <w:sz w:val="23"/>
              </w:rPr>
              <w:t>от должностного оклада</w:t>
            </w:r>
            <w:r>
              <w:rPr>
                <w:sz w:val="23"/>
              </w:rPr>
              <w:t xml:space="preserve"> с</w:t>
            </w:r>
            <w:r>
              <w:rPr>
                <w:sz w:val="23"/>
              </w:rPr>
              <w:t>пециалистам, служащим и   рабочим по разделу 1202 «Периодическая печать и издательство»</w:t>
            </w:r>
          </w:p>
        </w:tc>
        <w:tc>
          <w:tcPr>
            <w:tcW w:type="dxa" w:w="3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widowControl w:val="0"/>
              <w:ind w:firstLine="0" w:left="0"/>
              <w:jc w:val="center"/>
            </w:pPr>
            <w:r>
              <w:t>Устанавливается за:</w:t>
            </w:r>
          </w:p>
          <w:p w14:paraId="5B000000">
            <w:pPr>
              <w:widowControl w:val="0"/>
              <w:ind w:firstLine="0" w:left="0"/>
              <w:jc w:val="center"/>
            </w:pPr>
            <w:r>
              <w:t>- успешное и добросовестное исполнение должностных обязанностей в соответствующем периоде;</w:t>
            </w:r>
          </w:p>
          <w:p w14:paraId="5C000000">
            <w:pPr>
              <w:widowControl w:val="0"/>
              <w:ind w:firstLine="0" w:left="0"/>
              <w:jc w:val="center"/>
            </w:pPr>
            <w:r>
              <w:t>- высокое качество выполняемой работы;</w:t>
            </w:r>
          </w:p>
          <w:p w14:paraId="5D000000">
            <w:pPr>
              <w:widowControl w:val="0"/>
              <w:ind w:firstLine="0" w:left="0"/>
              <w:jc w:val="center"/>
            </w:pPr>
            <w:r>
              <w:t>- персональный вклад каждого работника в общие результаты деятельности учреждения;</w:t>
            </w:r>
          </w:p>
          <w:p w14:paraId="5E000000">
            <w:pPr>
              <w:widowControl w:val="0"/>
              <w:ind w:firstLine="0" w:left="0"/>
              <w:jc w:val="center"/>
            </w:pPr>
            <w: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оценки эффективности деятельности работников учреждения </w:t>
            </w:r>
            <w:r>
              <w:t>в соответствии с условиями, установленными локальным нормативным актом учреждения</w:t>
            </w:r>
          </w:p>
        </w:tc>
        <w:tc>
          <w:tcPr>
            <w:tcW w:type="dxa" w:w="1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Ежемесячно с даты приема на работу, из фонда стимулирующих выплат</w:t>
            </w:r>
          </w:p>
        </w:tc>
      </w:tr>
      <w:tr>
        <w:trPr>
          <w:trHeight w:hRule="atLeast" w:val="283"/>
        </w:trPr>
        <w:tc>
          <w:tcPr>
            <w:tcW w:type="dxa" w:w="665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type="dxa" w:w="1664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Выплата за выслугу лет</w:t>
            </w:r>
          </w:p>
        </w:tc>
        <w:tc>
          <w:tcPr>
            <w:tcW w:type="dxa" w:w="2130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25%</w:t>
            </w:r>
          </w:p>
        </w:tc>
        <w:tc>
          <w:tcPr>
            <w:tcW w:type="dxa" w:w="369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при стаже работы от 15 и более</w:t>
            </w:r>
          </w:p>
        </w:tc>
        <w:tc>
          <w:tcPr>
            <w:tcW w:type="dxa" w:w="19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Ежемесячно с даты приема на работу, из фонда стимулирующих выплат</w:t>
            </w:r>
          </w:p>
        </w:tc>
      </w:tr>
      <w:tr>
        <w:tc>
          <w:tcPr>
            <w:tcW w:type="dxa" w:w="66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20%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при стаже работы от 10 до 15 лет</w:t>
            </w:r>
          </w:p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11"/>
        </w:trPr>
        <w:tc>
          <w:tcPr>
            <w:tcW w:type="dxa" w:w="66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15%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при стаже работы от 5 до 10 лет</w:t>
            </w:r>
          </w:p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66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10%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при стаже работы от 3 до 5 лет</w:t>
            </w:r>
          </w:p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66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4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5%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при стаже работы от 1 года до 3 лет</w:t>
            </w:r>
          </w:p>
        </w:tc>
        <w:tc>
          <w:tcPr>
            <w:tcW w:type="dxa" w:w="19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665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type="dxa" w:w="1664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Премиальная выплата по итогам работы за квартал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До 2х фондов оплаты труда работника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ind w:firstLine="0" w:left="0"/>
              <w:jc w:val="center"/>
              <w:rPr>
                <w:sz w:val="23"/>
              </w:rPr>
            </w:pPr>
            <w:r>
              <w:rPr>
                <w:sz w:val="23"/>
              </w:rPr>
              <w:t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type="dxa" w:w="1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Ежеквартально с даты приема на работу, из фонда стимулирующих выплат</w:t>
            </w:r>
          </w:p>
        </w:tc>
      </w:tr>
    </w:tbl>
    <w:p w14:paraId="72000000">
      <w:pPr>
        <w:ind w:firstLine="540" w:left="0"/>
        <w:jc w:val="right"/>
      </w:pPr>
      <w:r>
        <w:t>».</w:t>
      </w:r>
    </w:p>
    <w:p w14:paraId="73000000">
      <w:pPr>
        <w:ind w:firstLine="540" w:left="0"/>
        <w:jc w:val="both"/>
        <w:rPr>
          <w:color w:val="000000"/>
        </w:rPr>
      </w:pPr>
      <w:r>
        <w:rPr>
          <w:color w:val="000000"/>
        </w:rPr>
        <w:t xml:space="preserve">1.6. Пункт 30 </w:t>
      </w:r>
      <w:r>
        <w:rPr>
          <w:color w:val="000000"/>
        </w:rPr>
        <w:t>изложить в следующей редакции:</w:t>
      </w:r>
    </w:p>
    <w:p w14:paraId="74000000">
      <w:pPr>
        <w:ind w:firstLine="540" w:left="0"/>
        <w:jc w:val="both"/>
        <w:rPr>
          <w:color w:val="000000"/>
        </w:rPr>
      </w:pPr>
      <w:r>
        <w:rPr>
          <w:color w:val="000000"/>
        </w:rPr>
        <w:t xml:space="preserve"> «30. </w:t>
      </w:r>
      <w:r>
        <w:rPr>
          <w:color w:val="000000"/>
        </w:rPr>
        <w:t xml:space="preserve">Премиальные выплаты по итогам работы за квартал осуществляются с целью поощрения работников за общие результаты работы за квартал, в </w:t>
      </w:r>
      <w:r>
        <w:rPr>
          <w:color w:val="000000"/>
        </w:rPr>
        <w:t>соответствии с коллективным договором,</w:t>
      </w:r>
      <w:r>
        <w:rPr>
          <w:color w:val="000000"/>
        </w:rPr>
        <w:t xml:space="preserve"> с настоящим Положением по оплате труда.</w:t>
      </w:r>
    </w:p>
    <w:p w14:paraId="75000000">
      <w:pPr>
        <w:ind w:firstLine="709" w:left="0"/>
        <w:jc w:val="both"/>
        <w:rPr>
          <w:color w:val="FB290D"/>
        </w:rPr>
      </w:pPr>
      <w:r>
        <w:rPr>
          <w:color w:val="000000"/>
        </w:rPr>
        <w:t xml:space="preserve">Предельный размер выплаты по итогам работы за квартал составляет не более 2х месячных фондов оплаты труда работников по основной занимаемой должности. </w:t>
      </w:r>
      <w:r>
        <w:rPr>
          <w:color w:val="000000"/>
        </w:rPr>
        <w:t>При этом</w:t>
      </w:r>
      <w:r>
        <w:rPr>
          <w:color w:val="000000"/>
        </w:rPr>
        <w:t xml:space="preserve"> месячный фонд оплаты труда</w:t>
      </w:r>
      <w:r>
        <w:rPr>
          <w:color w:val="000000"/>
        </w:rPr>
        <w:t xml:space="preserve"> включает в себя должностной </w:t>
      </w:r>
      <w:r>
        <w:rPr>
          <w:color w:val="000000"/>
        </w:rPr>
        <w:t>оклад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тарифную ставку с учетом районного коэффициента и процентной надбавки к заработной плат</w:t>
      </w:r>
      <w:r>
        <w:t>е за работу в районах Крайнего Севера и приравненных к ним местностя</w:t>
      </w:r>
      <w:r>
        <w:rPr>
          <w:color w:val="000000"/>
        </w:rPr>
        <w:t>х</w:t>
      </w:r>
      <w:r>
        <w:rPr>
          <w:color w:val="000000"/>
        </w:rPr>
        <w:t>.</w:t>
      </w:r>
    </w:p>
    <w:p w14:paraId="76000000">
      <w:pPr>
        <w:ind w:firstLine="709" w:left="0"/>
        <w:jc w:val="both"/>
        <w:rPr>
          <w:color w:val="FB290D"/>
        </w:rPr>
      </w:pPr>
      <w:r>
        <w:t>Премиальная выплат</w:t>
      </w:r>
      <w:r>
        <w:rPr>
          <w:color w:val="000000"/>
        </w:rPr>
        <w:t>а по итогам работы за квартал производится:</w:t>
      </w:r>
    </w:p>
    <w:p w14:paraId="77000000">
      <w:pPr>
        <w:ind w:firstLine="709" w:left="0"/>
        <w:jc w:val="both"/>
        <w:rPr>
          <w:color w:val="000000"/>
        </w:rPr>
      </w:pPr>
      <w:r>
        <w:rPr>
          <w:color w:val="000000"/>
        </w:rPr>
        <w:t>- руководителю учреждения - на основании приказа Учредителя;</w:t>
      </w:r>
    </w:p>
    <w:p w14:paraId="78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- работникам учреждения –  на основании приказа руководителя учреждения с учетом решения соответствующей комиссии с участием представительного органа работников, </w:t>
      </w:r>
      <w:r>
        <w:rPr>
          <w:color w:val="000000"/>
        </w:rPr>
        <w:t>после издания приказа Учредителя о выплате премии руководителю учреждения.</w:t>
      </w:r>
    </w:p>
    <w:p w14:paraId="79000000">
      <w:pPr>
        <w:ind w:firstLine="709" w:left="0"/>
        <w:jc w:val="both"/>
      </w:pPr>
      <w:r>
        <w:t>В случае если приказ Учредителя в отношении руководителя учреждения не издавался, п</w:t>
      </w:r>
      <w:r>
        <w:t>ремиальная выплата</w:t>
      </w:r>
      <w:r>
        <w:t xml:space="preserve"> по итогам работы за квартал работникам учреждения не выплачивается. </w:t>
      </w:r>
    </w:p>
    <w:p w14:paraId="7A000000">
      <w:pPr>
        <w:ind w:firstLine="709" w:left="0"/>
        <w:jc w:val="both"/>
      </w:pPr>
      <w:r>
        <w:t>С целью принятия решения Учредителем о п</w:t>
      </w:r>
      <w:r>
        <w:t>ремиальной выплате</w:t>
      </w:r>
      <w:r>
        <w:t xml:space="preserve"> по итогам работы за квартал</w:t>
      </w:r>
      <w:r>
        <w:t xml:space="preserve"> руководитель учреждения предо</w:t>
      </w:r>
      <w:r>
        <w:t>ставляет Учредителю ходатайство на п</w:t>
      </w:r>
      <w:r>
        <w:t>ремиальную выплату</w:t>
      </w:r>
      <w:r>
        <w:t xml:space="preserve"> с приложением справки с указанием обоснованной экономии бюджетных средств или наличия средств от иной приносящей доход деятельности и справки о достижении/</w:t>
      </w:r>
      <w:r>
        <w:t>недостижении</w:t>
      </w:r>
      <w:r>
        <w:t xml:space="preserve"> целевого показателя по средней заработной плате, установленного Департаментом культуры ХМАО-Югра, выполнения муниципального задания.</w:t>
      </w:r>
    </w:p>
    <w:p w14:paraId="7B000000">
      <w:pPr>
        <w:ind w:firstLine="709" w:left="0"/>
        <w:jc w:val="both"/>
      </w:pPr>
      <w:r>
        <w:t>Руководители учреждений пред</w:t>
      </w:r>
      <w:r>
        <w:t>ставляют ходатайство для п</w:t>
      </w:r>
      <w:r>
        <w:t>ремиальной выплаты</w:t>
      </w:r>
      <w:r>
        <w:t xml:space="preserve"> по итогам работы за квартал не позднее 15 рабочих дней месяца, следующего за отчетным кварталом, Учредитель в срок не позднее 10 рабочих дней рассматривает поступившее ходатайство</w:t>
      </w:r>
      <w:r>
        <w:t xml:space="preserve"> и в указанный срок направляет в учреждение приказ о п</w:t>
      </w:r>
      <w:r>
        <w:t>ремиальной выплате</w:t>
      </w:r>
      <w:r>
        <w:t xml:space="preserve"> руководителю или отказ в выплате премии.</w:t>
      </w:r>
      <w:r>
        <w:t xml:space="preserve"> </w:t>
      </w:r>
    </w:p>
    <w:p w14:paraId="7C000000">
      <w:pPr>
        <w:ind w:firstLine="709" w:left="0"/>
        <w:jc w:val="both"/>
        <w:rPr>
          <w:color w:val="000000"/>
        </w:rPr>
      </w:pPr>
      <w:r>
        <w:rPr>
          <w:color w:val="000000"/>
        </w:rPr>
        <w:t>Премиальные выплаты по итогам работы за квартал выплачиваются в пределах доведенной субсидии на выполнение муниципального задания и средств, поступающих от приносящей доход деятельности.</w:t>
      </w:r>
    </w:p>
    <w:p w14:paraId="7D000000">
      <w:pPr>
        <w:ind w:firstLine="709" w:left="0"/>
        <w:jc w:val="both"/>
      </w:pPr>
      <w:r>
        <w:t>Премиальная выплата по итогам работы за квартал не выплачивается работникам, имеющим неснятое дисциплинарное взыскание.</w:t>
      </w:r>
    </w:p>
    <w:p w14:paraId="7E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>Перечень показателей и условий для премирования работников учреждения:</w:t>
      </w:r>
    </w:p>
    <w:p w14:paraId="7F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>- надлежащее исполнение возложенных на работников функций и полномочий в отчетном периоде;</w:t>
      </w:r>
    </w:p>
    <w:p w14:paraId="80000000">
      <w:pPr>
        <w:ind w:firstLine="708" w:left="0" w:right="0"/>
        <w:jc w:val="both"/>
        <w:rPr>
          <w:color w:val="000000"/>
        </w:rPr>
      </w:pPr>
      <w:r>
        <w:rPr>
          <w:color w:val="000000"/>
        </w:rPr>
        <w:t>- проявление инициативы и выполнении должностных обязанностей и внесение предложений для более качественного и полного решения вопросов, предусмотренных должностями обязанностями;</w:t>
      </w:r>
    </w:p>
    <w:p w14:paraId="81000000">
      <w:pPr>
        <w:ind/>
        <w:jc w:val="both"/>
        <w:rPr>
          <w:color w:val="000000"/>
        </w:rPr>
      </w:pPr>
      <w:r>
        <w:rPr>
          <w:color w:val="000000"/>
        </w:rPr>
        <w:t xml:space="preserve">         - соблюдение трудовой дисциплины, умение организовать работу, бесконфликтность, создание здоровой, деловой обстановки в коллективе.</w:t>
      </w:r>
    </w:p>
    <w:p w14:paraId="82000000">
      <w:pPr>
        <w:ind w:firstLine="709" w:left="0"/>
        <w:jc w:val="both"/>
      </w:pPr>
      <w:r>
        <w:t>Премиальная выплата</w:t>
      </w:r>
      <w:r>
        <w:t xml:space="preserve"> выплачивается за фактически отработанное время (</w:t>
      </w:r>
      <w:r>
        <w:t>пропорционально отработанному времени согласно табелю учета использования рабочего времени</w:t>
      </w:r>
      <w:r>
        <w:t>).</w:t>
      </w:r>
    </w:p>
    <w:p w14:paraId="83000000">
      <w:pPr>
        <w:ind w:firstLine="709" w:left="0"/>
        <w:jc w:val="both"/>
      </w:pPr>
      <w:r>
        <w:t>Премиальная выплата</w:t>
      </w:r>
      <w:r>
        <w:t xml:space="preserve"> за квартал не выплачивается работникам, с</w:t>
      </w:r>
      <w:r>
        <w:t xml:space="preserve"> которыми трудовой договор в течение календарного года расторгнут или прекращен.</w:t>
      </w:r>
      <w:r>
        <w:t>».</w:t>
      </w:r>
      <w:r>
        <w:t xml:space="preserve"> </w:t>
      </w:r>
    </w:p>
    <w:p w14:paraId="84000000">
      <w:pPr>
        <w:ind w:firstLine="709" w:left="0"/>
        <w:jc w:val="both"/>
      </w:pPr>
    </w:p>
    <w:p w14:paraId="85000000">
      <w:pPr>
        <w:ind w:firstLine="709" w:left="0"/>
        <w:jc w:val="both"/>
      </w:pPr>
    </w:p>
    <w:p w14:paraId="86000000">
      <w:pPr>
        <w:ind w:firstLine="709" w:left="0"/>
        <w:jc w:val="both"/>
      </w:pPr>
      <w:r>
        <w:t>1.7. Первый абзац</w:t>
      </w:r>
      <w:r>
        <w:t xml:space="preserve"> </w:t>
      </w:r>
      <w:r>
        <w:t>пункта</w:t>
      </w:r>
      <w:r>
        <w:t xml:space="preserve"> 31 и название таблицы 14 </w:t>
      </w:r>
      <w:r>
        <w:t>изложить в новой редакции:</w:t>
      </w:r>
    </w:p>
    <w:p w14:paraId="87000000">
      <w:pPr>
        <w:ind w:firstLine="708" w:left="0" w:right="0"/>
        <w:jc w:val="both"/>
      </w:pPr>
      <w:r>
        <w:t>«31. Показатели, за которые производится снижение размера премиальной выплаты по итогам работы за квартал, устанавливаются в соответствии с таблицей 14 настоящего Положения.</w:t>
      </w:r>
    </w:p>
    <w:p w14:paraId="88000000">
      <w:pPr>
        <w:ind w:firstLine="708" w:left="0" w:right="0"/>
        <w:jc w:val="right"/>
      </w:pPr>
      <w:r>
        <w:rPr>
          <w:color w:val="000000"/>
        </w:rPr>
        <w:t>Таблица 14</w:t>
      </w:r>
    </w:p>
    <w:p w14:paraId="89000000">
      <w:pPr>
        <w:ind w:firstLine="708" w:left="0" w:right="0"/>
        <w:jc w:val="right"/>
        <w:rPr>
          <w:color w:val="000000"/>
        </w:rPr>
      </w:pPr>
    </w:p>
    <w:p w14:paraId="8A000000">
      <w:pPr>
        <w:spacing w:after="120" w:before="0"/>
        <w:ind w:firstLine="0" w:left="283" w:right="0"/>
        <w:jc w:val="center"/>
      </w:pPr>
      <w:r>
        <w:rPr>
          <w:b w:val="0"/>
          <w:color w:val="000000"/>
        </w:rPr>
        <w:t>Показатели, за которые производится снижение размера премиальной выплаты по итогам работы за квартал</w:t>
      </w:r>
      <w:r>
        <w:rPr>
          <w:b w:val="0"/>
          <w:color w:val="000000"/>
        </w:rPr>
        <w:t>».</w:t>
      </w:r>
    </w:p>
    <w:p w14:paraId="8B000000">
      <w:pPr>
        <w:tabs>
          <w:tab w:leader="none" w:pos="709" w:val="left"/>
        </w:tabs>
        <w:ind w:firstLine="709" w:left="0" w:right="-1"/>
        <w:jc w:val="both"/>
      </w:pPr>
      <w:r>
        <w:t>2. Опубликовать постановление в официальном сетевом издании «октвести.ру».</w:t>
      </w:r>
    </w:p>
    <w:p w14:paraId="8C000000">
      <w:pPr>
        <w:tabs>
          <w:tab w:leader="none" w:pos="709" w:val="left"/>
        </w:tabs>
        <w:ind w:firstLine="709" w:left="0" w:right="-1"/>
        <w:jc w:val="both"/>
      </w:pPr>
      <w:r>
        <w:t>3. Постановление вступает в силу с 01.01.2023.</w:t>
      </w:r>
    </w:p>
    <w:p w14:paraId="8D000000">
      <w:pPr>
        <w:tabs>
          <w:tab w:leader="none" w:pos="709" w:val="left"/>
        </w:tabs>
        <w:ind w:firstLine="709" w:left="0" w:right="-1"/>
        <w:jc w:val="both"/>
      </w:pPr>
      <w:r>
        <w:t>4. Руководителям учреждений культуры внести изменения в локальные акты учреждения, уведомить работников об изменении условий оплаты труда в срок, установленный законодательством.</w:t>
      </w:r>
    </w:p>
    <w:p w14:paraId="8E000000">
      <w:pPr>
        <w:pStyle w:val="Style_2"/>
        <w:tabs>
          <w:tab w:leader="none" w:pos="0" w:val="left"/>
          <w:tab w:leader="none" w:pos="180" w:val="left"/>
        </w:tabs>
        <w:ind w:firstLine="709" w:left="0" w:right="-1"/>
        <w:jc w:val="both"/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выполнением постановления возложить на заместителя главы Октябрьского района по социальным вопросам, начальника Управления образования                        и молодежной политики администрации Октябрьского района Киселеву Т.Б.</w:t>
      </w:r>
    </w:p>
    <w:p w14:paraId="8F000000">
      <w:pPr>
        <w:pStyle w:val="Style_2"/>
        <w:ind w:right="-1"/>
        <w:rPr>
          <w:rFonts w:ascii="Times New Roman" w:hAnsi="Times New Roman"/>
          <w:sz w:val="24"/>
        </w:rPr>
      </w:pPr>
    </w:p>
    <w:p w14:paraId="90000000">
      <w:pPr>
        <w:pStyle w:val="Style_2"/>
        <w:ind w:right="-1"/>
        <w:rPr>
          <w:rFonts w:ascii="Times New Roman" w:hAnsi="Times New Roman"/>
          <w:sz w:val="24"/>
        </w:rPr>
      </w:pPr>
    </w:p>
    <w:p w14:paraId="91000000">
      <w:pPr>
        <w:pStyle w:val="Style_2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Октябрьского района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С.В. Заплатин</w:t>
      </w:r>
    </w:p>
    <w:p w14:paraId="92000000">
      <w:pPr>
        <w:pStyle w:val="Style_2"/>
        <w:ind w:right="-1"/>
        <w:rPr>
          <w:rFonts w:ascii="Times New Roman" w:hAnsi="Times New Roman"/>
        </w:rPr>
      </w:pPr>
    </w:p>
    <w:p w14:paraId="93000000">
      <w:pPr>
        <w:pStyle w:val="Style_2"/>
        <w:ind w:right="-1"/>
        <w:rPr>
          <w:rFonts w:ascii="Times New Roman" w:hAnsi="Times New Roman"/>
        </w:rPr>
      </w:pPr>
    </w:p>
    <w:p w14:paraId="94000000">
      <w:pPr>
        <w:pStyle w:val="Style_2"/>
        <w:ind w:right="-1"/>
        <w:rPr>
          <w:rFonts w:ascii="Times New Roman" w:hAnsi="Times New Roman"/>
        </w:rPr>
      </w:pPr>
    </w:p>
    <w:p w14:paraId="95000000">
      <w:pPr>
        <w:pStyle w:val="Style_2"/>
        <w:ind w:right="-1"/>
        <w:rPr>
          <w:rFonts w:ascii="Times New Roman" w:hAnsi="Times New Roman"/>
        </w:rPr>
      </w:pPr>
    </w:p>
    <w:p w14:paraId="96000000">
      <w:pPr>
        <w:pStyle w:val="Style_2"/>
        <w:ind w:right="-1"/>
        <w:rPr>
          <w:rFonts w:ascii="Times New Roman" w:hAnsi="Times New Roman"/>
        </w:rPr>
      </w:pPr>
    </w:p>
    <w:p w14:paraId="97000000">
      <w:pPr>
        <w:pStyle w:val="Style_2"/>
        <w:ind w:right="-1"/>
        <w:rPr>
          <w:rFonts w:ascii="Times New Roman" w:hAnsi="Times New Roman"/>
        </w:rPr>
      </w:pPr>
    </w:p>
    <w:p w14:paraId="98000000">
      <w:pPr>
        <w:pStyle w:val="Style_2"/>
        <w:ind w:right="-1"/>
        <w:rPr>
          <w:rFonts w:ascii="Times New Roman" w:hAnsi="Times New Roman"/>
        </w:rPr>
      </w:pPr>
    </w:p>
    <w:p w14:paraId="99000000">
      <w:pPr>
        <w:pStyle w:val="Style_2"/>
        <w:ind w:right="-1"/>
        <w:rPr>
          <w:rFonts w:ascii="Times New Roman" w:hAnsi="Times New Roman"/>
        </w:rPr>
      </w:pPr>
    </w:p>
    <w:p w14:paraId="9A000000">
      <w:pPr>
        <w:pStyle w:val="Style_2"/>
        <w:ind w:right="-1"/>
        <w:rPr>
          <w:rFonts w:ascii="Times New Roman" w:hAnsi="Times New Roman"/>
        </w:rPr>
      </w:pPr>
    </w:p>
    <w:p w14:paraId="9B000000">
      <w:pPr>
        <w:pStyle w:val="Style_2"/>
        <w:ind w:right="-1"/>
        <w:rPr>
          <w:rFonts w:ascii="Times New Roman" w:hAnsi="Times New Roman"/>
        </w:rPr>
      </w:pPr>
    </w:p>
    <w:p w14:paraId="9C000000">
      <w:pPr>
        <w:pStyle w:val="Style_2"/>
        <w:ind w:right="-1"/>
        <w:rPr>
          <w:rFonts w:ascii="Times New Roman" w:hAnsi="Times New Roman"/>
        </w:rPr>
      </w:pPr>
    </w:p>
    <w:p w14:paraId="9D000000">
      <w:pPr>
        <w:pStyle w:val="Style_2"/>
        <w:ind w:right="-1"/>
        <w:rPr>
          <w:rFonts w:ascii="Times New Roman" w:hAnsi="Times New Roman"/>
        </w:rPr>
      </w:pPr>
    </w:p>
    <w:p w14:paraId="9E000000">
      <w:pPr>
        <w:pStyle w:val="Style_2"/>
        <w:ind w:right="-1"/>
        <w:rPr>
          <w:rFonts w:ascii="Times New Roman" w:hAnsi="Times New Roman"/>
        </w:rPr>
      </w:pPr>
    </w:p>
    <w:p w14:paraId="9F000000">
      <w:pPr>
        <w:pStyle w:val="Style_2"/>
        <w:ind w:right="-1"/>
        <w:rPr>
          <w:rFonts w:ascii="Times New Roman" w:hAnsi="Times New Roman"/>
        </w:rPr>
      </w:pPr>
    </w:p>
    <w:p w14:paraId="A0000000">
      <w:pPr>
        <w:pStyle w:val="Style_2"/>
        <w:ind w:right="-1"/>
        <w:rPr>
          <w:rFonts w:ascii="Times New Roman" w:hAnsi="Times New Roman"/>
        </w:rPr>
      </w:pPr>
    </w:p>
    <w:p w14:paraId="A1000000">
      <w:pPr>
        <w:pStyle w:val="Style_2"/>
        <w:ind w:right="-1"/>
        <w:rPr>
          <w:rFonts w:ascii="Times New Roman" w:hAnsi="Times New Roman"/>
        </w:rPr>
      </w:pPr>
    </w:p>
    <w:p w14:paraId="A2000000">
      <w:pPr>
        <w:pStyle w:val="Style_2"/>
        <w:ind w:right="-1"/>
        <w:rPr>
          <w:rFonts w:ascii="Times New Roman" w:hAnsi="Times New Roman"/>
        </w:rPr>
      </w:pPr>
    </w:p>
    <w:p w14:paraId="A3000000">
      <w:pPr>
        <w:pStyle w:val="Style_2"/>
        <w:ind w:right="-1"/>
        <w:rPr>
          <w:rFonts w:ascii="Times New Roman" w:hAnsi="Times New Roman"/>
        </w:rPr>
      </w:pPr>
    </w:p>
    <w:p w14:paraId="A4000000">
      <w:pPr>
        <w:pStyle w:val="Style_2"/>
        <w:ind w:right="-1"/>
        <w:rPr>
          <w:rFonts w:ascii="Times New Roman" w:hAnsi="Times New Roman"/>
        </w:rPr>
      </w:pPr>
    </w:p>
    <w:p w14:paraId="A5000000">
      <w:pPr>
        <w:pStyle w:val="Style_2"/>
        <w:ind w:right="-1"/>
        <w:rPr>
          <w:rFonts w:ascii="Times New Roman" w:hAnsi="Times New Roman"/>
        </w:rPr>
      </w:pPr>
    </w:p>
    <w:p w14:paraId="A6000000">
      <w:pPr>
        <w:pStyle w:val="Style_2"/>
        <w:ind w:right="-1"/>
        <w:rPr>
          <w:rFonts w:ascii="Times New Roman" w:hAnsi="Times New Roman"/>
        </w:rPr>
      </w:pPr>
    </w:p>
    <w:p w14:paraId="A7000000">
      <w:pPr>
        <w:pStyle w:val="Style_2"/>
        <w:ind w:right="-1"/>
        <w:rPr>
          <w:rFonts w:ascii="Times New Roman" w:hAnsi="Times New Roman"/>
        </w:rPr>
      </w:pPr>
    </w:p>
    <w:p w14:paraId="A8000000">
      <w:pPr>
        <w:pStyle w:val="Style_2"/>
        <w:ind w:right="-1"/>
        <w:rPr>
          <w:rFonts w:ascii="Times New Roman" w:hAnsi="Times New Roman"/>
        </w:rPr>
      </w:pPr>
    </w:p>
    <w:p w14:paraId="A9000000">
      <w:pPr>
        <w:pStyle w:val="Style_2"/>
        <w:ind w:right="-1"/>
        <w:rPr>
          <w:rFonts w:ascii="Times New Roman" w:hAnsi="Times New Roman"/>
        </w:rPr>
      </w:pPr>
    </w:p>
    <w:p w14:paraId="AA000000">
      <w:pPr>
        <w:pStyle w:val="Style_2"/>
        <w:ind w:right="-1"/>
        <w:rPr>
          <w:rFonts w:ascii="Times New Roman" w:hAnsi="Times New Roman"/>
        </w:rPr>
      </w:pPr>
    </w:p>
    <w:p w14:paraId="AB000000">
      <w:pPr>
        <w:pStyle w:val="Style_2"/>
        <w:ind w:right="-1"/>
        <w:rPr>
          <w:rFonts w:ascii="Times New Roman" w:hAnsi="Times New Roman"/>
        </w:rPr>
      </w:pPr>
    </w:p>
    <w:p w14:paraId="AC000000">
      <w:pPr>
        <w:pStyle w:val="Style_2"/>
        <w:ind w:right="-1"/>
        <w:rPr>
          <w:rFonts w:ascii="Times New Roman" w:hAnsi="Times New Roman"/>
        </w:rPr>
      </w:pPr>
    </w:p>
    <w:p w14:paraId="AD000000">
      <w:pPr>
        <w:pStyle w:val="Style_2"/>
        <w:ind w:right="-1"/>
        <w:rPr>
          <w:rFonts w:ascii="Times New Roman" w:hAnsi="Times New Roman"/>
        </w:rPr>
      </w:pPr>
    </w:p>
    <w:p w14:paraId="AE000000">
      <w:pPr>
        <w:pStyle w:val="Style_2"/>
        <w:ind w:right="-1"/>
        <w:rPr>
          <w:rFonts w:ascii="Times New Roman" w:hAnsi="Times New Roman"/>
        </w:rPr>
      </w:pPr>
    </w:p>
    <w:p w14:paraId="AF000000">
      <w:pPr>
        <w:pStyle w:val="Style_2"/>
        <w:ind w:right="-1"/>
        <w:rPr>
          <w:rFonts w:ascii="Times New Roman" w:hAnsi="Times New Roman"/>
        </w:rPr>
      </w:pPr>
    </w:p>
    <w:p w14:paraId="B0000000">
      <w:pPr>
        <w:pStyle w:val="Style_2"/>
        <w:ind w:right="-1"/>
        <w:rPr>
          <w:rFonts w:ascii="Times New Roman" w:hAnsi="Times New Roman"/>
        </w:rPr>
      </w:pPr>
    </w:p>
    <w:p w14:paraId="B1000000">
      <w:pPr>
        <w:pStyle w:val="Style_2"/>
        <w:ind w:right="-1"/>
        <w:rPr>
          <w:rFonts w:ascii="Times New Roman" w:hAnsi="Times New Roman"/>
        </w:rPr>
      </w:pPr>
    </w:p>
    <w:p w14:paraId="B2000000">
      <w:pPr>
        <w:pStyle w:val="Style_2"/>
        <w:ind w:right="-1"/>
        <w:rPr>
          <w:rFonts w:ascii="Times New Roman" w:hAnsi="Times New Roman"/>
        </w:rPr>
      </w:pPr>
    </w:p>
    <w:p w14:paraId="B3000000">
      <w:pPr>
        <w:pStyle w:val="Style_2"/>
        <w:ind w:right="-1"/>
        <w:rPr>
          <w:rFonts w:ascii="Times New Roman" w:hAnsi="Times New Roman"/>
        </w:rPr>
      </w:pPr>
    </w:p>
    <w:p w14:paraId="B4000000">
      <w:pPr>
        <w:pStyle w:val="Style_2"/>
        <w:ind w:right="-1"/>
        <w:rPr>
          <w:rFonts w:ascii="Times New Roman" w:hAnsi="Times New Roman"/>
        </w:rPr>
      </w:pPr>
    </w:p>
    <w:p w14:paraId="B5000000">
      <w:pPr>
        <w:pStyle w:val="Style_2"/>
        <w:ind w:right="-1"/>
        <w:rPr>
          <w:rFonts w:ascii="Times New Roman" w:hAnsi="Times New Roman"/>
        </w:rPr>
      </w:pPr>
    </w:p>
    <w:p w14:paraId="B6000000">
      <w:pPr>
        <w:pStyle w:val="Style_2"/>
        <w:ind w:right="-1"/>
        <w:rPr>
          <w:rFonts w:ascii="Times New Roman" w:hAnsi="Times New Roman"/>
        </w:rPr>
      </w:pPr>
    </w:p>
    <w:p w14:paraId="B7000000">
      <w:pPr>
        <w:pStyle w:val="Style_2"/>
        <w:ind w:right="-1"/>
        <w:rPr>
          <w:rFonts w:ascii="Times New Roman" w:hAnsi="Times New Roman"/>
        </w:rPr>
      </w:pPr>
    </w:p>
    <w:p w14:paraId="B8000000">
      <w:pPr>
        <w:pStyle w:val="Style_2"/>
        <w:ind w:right="-1"/>
        <w:rPr>
          <w:rFonts w:ascii="Times New Roman" w:hAnsi="Times New Roman"/>
        </w:rPr>
      </w:pPr>
    </w:p>
    <w:p w14:paraId="B9000000">
      <w:pPr>
        <w:pStyle w:val="Style_2"/>
        <w:ind w:right="-1"/>
        <w:rPr>
          <w:rFonts w:ascii="Times New Roman" w:hAnsi="Times New Roman"/>
        </w:rPr>
      </w:pPr>
    </w:p>
    <w:p w14:paraId="BA000000">
      <w:pPr>
        <w:pStyle w:val="Style_2"/>
        <w:ind w:right="-1"/>
        <w:rPr>
          <w:rFonts w:ascii="Times New Roman" w:hAnsi="Times New Roman"/>
        </w:rPr>
      </w:pPr>
    </w:p>
    <w:p w14:paraId="BB000000">
      <w:pPr>
        <w:pStyle w:val="Style_2"/>
        <w:ind w:right="-1"/>
        <w:rPr>
          <w:rFonts w:ascii="Times New Roman" w:hAnsi="Times New Roman"/>
        </w:rPr>
      </w:pPr>
    </w:p>
    <w:p w14:paraId="BC000000">
      <w:pPr>
        <w:pStyle w:val="Style_2"/>
        <w:ind w:right="-1"/>
        <w:rPr>
          <w:rFonts w:ascii="Times" w:hAnsi="Times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>:</w:t>
      </w:r>
    </w:p>
    <w:p w14:paraId="BD000000">
      <w:pPr>
        <w:ind/>
        <w:jc w:val="both"/>
      </w:pPr>
      <w:r>
        <w:t>г</w:t>
      </w:r>
      <w:r>
        <w:t>лавный экономист отдела культуры и туризма</w:t>
      </w:r>
    </w:p>
    <w:p w14:paraId="BE000000">
      <w:pPr>
        <w:ind/>
        <w:jc w:val="both"/>
      </w:pPr>
      <w:r>
        <w:t>Бунькова</w:t>
      </w:r>
      <w:r>
        <w:t xml:space="preserve"> Н.Н.</w:t>
      </w:r>
      <w:r>
        <w:t>,</w:t>
      </w:r>
      <w:r>
        <w:t xml:space="preserve"> тел.</w:t>
      </w:r>
      <w:r>
        <w:t xml:space="preserve">: </w:t>
      </w:r>
      <w:r>
        <w:t>391</w:t>
      </w:r>
    </w:p>
    <w:p w14:paraId="BF000000">
      <w:pPr>
        <w:ind/>
        <w:jc w:val="both"/>
      </w:pPr>
    </w:p>
    <w:p w14:paraId="C0000000">
      <w:pPr>
        <w:ind/>
        <w:jc w:val="both"/>
      </w:pPr>
    </w:p>
    <w:p w14:paraId="C1000000">
      <w:pPr>
        <w:ind/>
        <w:jc w:val="both"/>
      </w:pPr>
    </w:p>
    <w:p w14:paraId="C2000000">
      <w:pPr>
        <w:ind/>
        <w:jc w:val="both"/>
      </w:pPr>
    </w:p>
    <w:p w14:paraId="C3000000">
      <w:pPr>
        <w:ind/>
        <w:jc w:val="both"/>
      </w:pPr>
    </w:p>
    <w:p w14:paraId="C4000000">
      <w:pPr>
        <w:ind/>
        <w:jc w:val="both"/>
      </w:pPr>
    </w:p>
    <w:p w14:paraId="C5000000">
      <w:pPr>
        <w:ind/>
        <w:jc w:val="both"/>
      </w:pPr>
    </w:p>
    <w:p w14:paraId="C6000000">
      <w:pPr>
        <w:ind/>
        <w:jc w:val="both"/>
      </w:pPr>
    </w:p>
    <w:p w14:paraId="C7000000">
      <w:pPr>
        <w:ind/>
        <w:jc w:val="both"/>
      </w:pPr>
    </w:p>
    <w:p w14:paraId="C8000000">
      <w:r>
        <w:t>Согласовано:</w:t>
      </w:r>
    </w:p>
    <w:p w14:paraId="C9000000">
      <w:pPr>
        <w:widowControl w:val="1"/>
        <w:tabs>
          <w:tab w:leader="none" w:pos="7513" w:val="left"/>
        </w:tabs>
        <w:ind w:right="0"/>
        <w:rPr>
          <w:rFonts w:ascii="Times New Roman" w:hAnsi="Times New Roman"/>
        </w:rPr>
      </w:pPr>
    </w:p>
    <w:p w14:paraId="CA000000">
      <w:pPr>
        <w:tabs>
          <w:tab w:leader="none" w:pos="4320" w:val="left"/>
        </w:tabs>
        <w:ind/>
      </w:pPr>
      <w:r>
        <w:t xml:space="preserve">Первый заместитель главы Октябрьского района </w:t>
      </w:r>
    </w:p>
    <w:p w14:paraId="CB000000">
      <w:pPr>
        <w:tabs>
          <w:tab w:leader="none" w:pos="4320" w:val="left"/>
        </w:tabs>
        <w:ind/>
      </w:pPr>
      <w:r>
        <w:t xml:space="preserve">по правовому обеспечению, управляющий делами </w:t>
      </w:r>
    </w:p>
    <w:p w14:paraId="CC000000">
      <w:pPr>
        <w:tabs>
          <w:tab w:leader="none" w:pos="4320" w:val="left"/>
        </w:tabs>
        <w:ind/>
      </w:pPr>
      <w:r>
        <w:t xml:space="preserve">администрации Октябрьского района                                                                          Н.В. Хромов             </w:t>
      </w:r>
    </w:p>
    <w:p w14:paraId="CD000000">
      <w:pPr>
        <w:tabs>
          <w:tab w:leader="none" w:pos="10063" w:val="right"/>
        </w:tabs>
        <w:ind/>
      </w:pPr>
    </w:p>
    <w:p w14:paraId="CE000000">
      <w:pPr>
        <w:tabs>
          <w:tab w:leader="none" w:pos="10063" w:val="right"/>
        </w:tabs>
        <w:ind/>
      </w:pPr>
      <w:r>
        <w:t>Заместитель главы Октябрьского района по социальным</w:t>
      </w:r>
    </w:p>
    <w:p w14:paraId="CF000000">
      <w:pPr>
        <w:tabs>
          <w:tab w:leader="none" w:pos="10063" w:val="right"/>
        </w:tabs>
        <w:ind/>
      </w:pPr>
      <w:r>
        <w:t>вопросам, начальник Управления образования и молодежной</w:t>
      </w:r>
    </w:p>
    <w:p w14:paraId="D0000000">
      <w:pPr>
        <w:tabs>
          <w:tab w:leader="none" w:pos="10063" w:val="right"/>
        </w:tabs>
        <w:ind/>
      </w:pPr>
      <w:r>
        <w:t>политики администрации Октябрьского района                                                       Т.Б. Киселева</w:t>
      </w:r>
    </w:p>
    <w:p w14:paraId="D1000000">
      <w:pPr>
        <w:tabs>
          <w:tab w:leader="none" w:pos="7380" w:val="left"/>
          <w:tab w:leader="none" w:pos="7560" w:val="left"/>
        </w:tabs>
        <w:ind/>
      </w:pPr>
    </w:p>
    <w:p w14:paraId="D2000000">
      <w:pPr>
        <w:tabs>
          <w:tab w:leader="none" w:pos="4320" w:val="left"/>
        </w:tabs>
        <w:ind/>
      </w:pPr>
      <w:r>
        <w:t xml:space="preserve">Заместитель главы Октябрьского района </w:t>
      </w:r>
    </w:p>
    <w:p w14:paraId="D3000000">
      <w:pPr>
        <w:tabs>
          <w:tab w:leader="none" w:pos="4320" w:val="left"/>
        </w:tabs>
        <w:ind/>
      </w:pPr>
      <w:r>
        <w:t xml:space="preserve">по экономике и финансам, председатель Комитета </w:t>
      </w:r>
    </w:p>
    <w:p w14:paraId="D4000000">
      <w:pPr>
        <w:tabs>
          <w:tab w:leader="none" w:pos="4320" w:val="left"/>
        </w:tabs>
        <w:ind/>
      </w:pPr>
      <w:r>
        <w:t xml:space="preserve">по управлению муниципальными финансами                                                            Н.Г. Куклина                                                                                          </w:t>
      </w:r>
    </w:p>
    <w:p w14:paraId="D5000000">
      <w:pPr>
        <w:tabs>
          <w:tab w:leader="none" w:pos="7513" w:val="left"/>
          <w:tab w:leader="none" w:pos="7560" w:val="left"/>
        </w:tabs>
        <w:ind/>
      </w:pPr>
    </w:p>
    <w:p w14:paraId="D6000000">
      <w:pPr>
        <w:tabs>
          <w:tab w:leader="none" w:pos="7513" w:val="left"/>
          <w:tab w:leader="none" w:pos="7560" w:val="left"/>
        </w:tabs>
        <w:ind/>
      </w:pPr>
      <w:r>
        <w:t>Заведующий юридическим отделом                                                                      Л.Ю. Даниленко</w:t>
      </w:r>
    </w:p>
    <w:p w14:paraId="D7000000">
      <w:pPr>
        <w:tabs>
          <w:tab w:leader="none" w:pos="7513" w:val="left"/>
          <w:tab w:leader="none" w:pos="7560" w:val="left"/>
        </w:tabs>
        <w:ind/>
      </w:pPr>
    </w:p>
    <w:p w14:paraId="D8000000">
      <w:pPr>
        <w:tabs>
          <w:tab w:leader="none" w:pos="7513" w:val="left"/>
          <w:tab w:leader="none" w:pos="7560" w:val="left"/>
        </w:tabs>
        <w:ind/>
      </w:pPr>
      <w:r>
        <w:t>И.о. заведующего отделом культуры и туризма</w:t>
      </w:r>
    </w:p>
    <w:p w14:paraId="D9000000">
      <w:pPr>
        <w:tabs>
          <w:tab w:leader="none" w:pos="7513" w:val="left"/>
          <w:tab w:leader="none" w:pos="7560" w:val="left"/>
        </w:tabs>
        <w:ind/>
      </w:pPr>
      <w:r>
        <w:t>администрации Октябрьского района                                                                       Е.А. Куницына</w:t>
      </w:r>
    </w:p>
    <w:p w14:paraId="DA000000">
      <w:pPr>
        <w:tabs>
          <w:tab w:leader="none" w:pos="7513" w:val="left"/>
          <w:tab w:leader="none" w:pos="7560" w:val="left"/>
        </w:tabs>
        <w:ind/>
      </w:pPr>
    </w:p>
    <w:p w14:paraId="DB000000">
      <w:pPr>
        <w:tabs>
          <w:tab w:leader="none" w:pos="7513" w:val="left"/>
          <w:tab w:leader="none" w:pos="7560" w:val="left"/>
        </w:tabs>
        <w:ind/>
      </w:pPr>
      <w:r>
        <w:t>Юридический отдел администрации</w:t>
      </w:r>
    </w:p>
    <w:p w14:paraId="DC000000">
      <w:pPr>
        <w:tabs>
          <w:tab w:leader="none" w:pos="7513" w:val="left"/>
          <w:tab w:leader="none" w:pos="7560" w:val="left"/>
        </w:tabs>
        <w:ind/>
      </w:pPr>
      <w:r>
        <w:t>Октябрьского района</w:t>
      </w:r>
    </w:p>
    <w:p w14:paraId="DD000000">
      <w:pPr>
        <w:tabs>
          <w:tab w:leader="none" w:pos="7513" w:val="left"/>
          <w:tab w:leader="none" w:pos="7560" w:val="left"/>
        </w:tabs>
        <w:ind/>
      </w:pPr>
    </w:p>
    <w:p w14:paraId="DE000000">
      <w:pPr>
        <w:tabs>
          <w:tab w:leader="none" w:pos="7513" w:val="left"/>
          <w:tab w:leader="none" w:pos="7560" w:val="left"/>
        </w:tabs>
        <w:ind/>
      </w:pPr>
      <w:r>
        <w:t>Заведующий отделом муниципальной</w:t>
      </w:r>
    </w:p>
    <w:p w14:paraId="DF000000">
      <w:pPr>
        <w:tabs>
          <w:tab w:leader="none" w:pos="7513" w:val="left"/>
          <w:tab w:leader="none" w:pos="7560" w:val="left"/>
        </w:tabs>
        <w:ind/>
      </w:pPr>
      <w:r>
        <w:rPr>
          <w:rStyle w:val="Style_3_ch"/>
        </w:rPr>
        <w:t xml:space="preserve">службы и кадровой политики </w:t>
      </w:r>
      <w:r>
        <w:rPr>
          <w:rStyle w:val="Style_3_ch"/>
        </w:rPr>
        <w:t xml:space="preserve">                                                                                 М.А. Кузнецова</w:t>
      </w:r>
    </w:p>
    <w:p w14:paraId="E0000000">
      <w:pPr>
        <w:tabs>
          <w:tab w:leader="none" w:pos="7513" w:val="left"/>
          <w:tab w:leader="none" w:pos="7560" w:val="left"/>
        </w:tabs>
        <w:ind/>
      </w:pPr>
    </w:p>
    <w:p w14:paraId="E1000000">
      <w:pPr>
        <w:tabs>
          <w:tab w:leader="none" w:pos="7513" w:val="left"/>
          <w:tab w:leader="none" w:pos="7560" w:val="left"/>
        </w:tabs>
        <w:ind/>
      </w:pPr>
    </w:p>
    <w:p w14:paraId="E2000000">
      <w:pPr>
        <w:tabs>
          <w:tab w:leader="none" w:pos="7513" w:val="left"/>
          <w:tab w:leader="none" w:pos="7560" w:val="left"/>
        </w:tabs>
        <w:ind/>
      </w:pPr>
      <w:r>
        <w:t xml:space="preserve">Председатель </w:t>
      </w:r>
      <w:r>
        <w:t>КСП  Октябрьского</w:t>
      </w:r>
      <w:r>
        <w:t xml:space="preserve"> района                                                               О.М. Бачурина</w:t>
      </w:r>
    </w:p>
    <w:p w14:paraId="E3000000">
      <w:r>
        <w:t xml:space="preserve"> </w:t>
      </w:r>
    </w:p>
    <w:p w14:paraId="E4000000">
      <w:pPr>
        <w:tabs>
          <w:tab w:leader="none" w:pos="7380" w:val="left"/>
          <w:tab w:leader="none" w:pos="7560" w:val="left"/>
        </w:tabs>
        <w:ind/>
      </w:pPr>
    </w:p>
    <w:p w14:paraId="E5000000">
      <w:pPr>
        <w:tabs>
          <w:tab w:leader="none" w:pos="7380" w:val="left"/>
          <w:tab w:leader="none" w:pos="7560" w:val="left"/>
        </w:tabs>
        <w:ind/>
      </w:pPr>
    </w:p>
    <w:p w14:paraId="E6000000">
      <w:pPr>
        <w:tabs>
          <w:tab w:leader="none" w:pos="7380" w:val="left"/>
          <w:tab w:leader="none" w:pos="7560" w:val="left"/>
        </w:tabs>
        <w:ind/>
      </w:pPr>
      <w:r>
        <w:t>Степень публичности   - «1» МНПА</w:t>
      </w:r>
    </w:p>
    <w:p w14:paraId="E7000000">
      <w:pPr>
        <w:widowControl w:val="0"/>
        <w:tabs>
          <w:tab w:leader="none" w:pos="3495" w:val="left"/>
          <w:tab w:leader="none" w:pos="4819" w:val="center"/>
        </w:tabs>
        <w:ind/>
      </w:pPr>
    </w:p>
    <w:p w14:paraId="E8000000">
      <w:pPr>
        <w:widowControl w:val="0"/>
        <w:tabs>
          <w:tab w:leader="none" w:pos="3495" w:val="left"/>
          <w:tab w:leader="none" w:pos="4819" w:val="center"/>
        </w:tabs>
        <w:ind/>
      </w:pPr>
      <w:r>
        <w:t>Разослать:</w:t>
      </w:r>
    </w:p>
    <w:p w14:paraId="E9000000">
      <w:pPr>
        <w:widowControl w:val="0"/>
        <w:tabs>
          <w:tab w:leader="none" w:pos="3495" w:val="left"/>
          <w:tab w:leader="none" w:pos="4819" w:val="center"/>
        </w:tabs>
        <w:ind/>
      </w:pPr>
    </w:p>
    <w:p w14:paraId="EA000000">
      <w:pPr>
        <w:widowControl w:val="0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Кисе</w:t>
      </w:r>
      <w:r>
        <w:t>левой Т.Б. – 1 экз. (в эл. виде)</w:t>
      </w:r>
    </w:p>
    <w:p w14:paraId="EB000000">
      <w:pPr>
        <w:widowControl w:val="0"/>
        <w:numPr>
          <w:ilvl w:val="0"/>
          <w:numId w:val="1"/>
        </w:numPr>
        <w:tabs>
          <w:tab w:leader="none" w:pos="284" w:val="left"/>
        </w:tabs>
        <w:ind w:firstLine="0" w:left="0"/>
        <w:jc w:val="both"/>
      </w:pPr>
      <w:r>
        <w:t>Отдел культуры и туризма администрации Октябрьского района – 1</w:t>
      </w:r>
      <w:r>
        <w:t xml:space="preserve"> </w:t>
      </w:r>
      <w:r>
        <w:t>экз.</w:t>
      </w:r>
    </w:p>
    <w:p w14:paraId="EC000000">
      <w:pPr>
        <w:pStyle w:val="Style_4"/>
        <w:numPr>
          <w:ilvl w:val="0"/>
          <w:numId w:val="1"/>
        </w:numPr>
      </w:pPr>
      <w:r>
        <w:t xml:space="preserve">МБУК «КИЦ» - </w:t>
      </w:r>
      <w:r>
        <w:t>1 экз. (в эл. виде)</w:t>
      </w:r>
    </w:p>
    <w:p w14:paraId="ED000000">
      <w:pPr>
        <w:pStyle w:val="Style_4"/>
        <w:numPr>
          <w:ilvl w:val="0"/>
          <w:numId w:val="1"/>
        </w:numPr>
      </w:pPr>
      <w:r>
        <w:t>МБУК «МБОР» -1 экз.</w:t>
      </w:r>
    </w:p>
    <w:p w14:paraId="EE000000">
      <w:r>
        <w:t>Итого: 4 экз.</w:t>
      </w:r>
    </w:p>
    <w:p w14:paraId="EF000000"/>
    <w:p w14:paraId="F0000000"/>
    <w:sectPr>
      <w:pgSz w:h="16848" w:orient="portrait" w:w="11908"/>
      <w:pgMar w:bottom="567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color w:val="000000"/>
      <w:sz w:val="20"/>
    </w:rPr>
  </w:style>
  <w:style w:styleId="Style_2_ch" w:type="character">
    <w:name w:val="ConsPlusNormal"/>
    <w:link w:val="Style_2"/>
    <w:rPr>
      <w:rFonts w:ascii="Arial" w:hAnsi="Arial"/>
      <w:color w:val="000000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4" w:type="paragraph">
    <w:name w:val="List Paragraph"/>
    <w:basedOn w:val="Style_3"/>
    <w:link w:val="Style_4_ch"/>
    <w:pPr>
      <w:ind w:firstLine="0" w:left="720"/>
      <w:contextualSpacing w:val="1"/>
    </w:pPr>
  </w:style>
  <w:style w:styleId="Style_4_ch" w:type="character">
    <w:name w:val="List Paragraph"/>
    <w:basedOn w:val="Style_3_ch"/>
    <w:link w:val="Style_4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  <w:rPr>
      <w:sz w:val="24"/>
    </w:rPr>
  </w:style>
  <w:style w:styleId="Style_21_ch" w:type="character">
    <w:name w:val="Обычный1"/>
    <w:link w:val="Style_21"/>
    <w:rPr>
      <w:sz w:val="24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2022-10-25T12:36:20Z</dcterms:modified>
</cp:coreProperties>
</file>